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B5" w:rsidRPr="007612BA" w:rsidRDefault="007612BA">
      <w:pPr>
        <w:rPr>
          <w:b/>
        </w:rPr>
      </w:pPr>
      <w:r w:rsidRPr="007612BA">
        <w:rPr>
          <w:b/>
        </w:rPr>
        <w:t>Cégtábla vagy cég felirat?</w:t>
      </w:r>
    </w:p>
    <w:p w:rsidR="007612BA" w:rsidRDefault="007612BA"/>
    <w:p w:rsidR="007612BA" w:rsidRDefault="007612BA">
      <w:pPr>
        <w:rPr>
          <w:b/>
        </w:rPr>
      </w:pPr>
      <w:r w:rsidRPr="007612BA">
        <w:rPr>
          <w:b/>
        </w:rPr>
        <w:t>Minden vállalkozásnak ki kell tennie a székhelyre egy táblát, mely a céget jelöli.</w:t>
      </w:r>
      <w:r w:rsidR="00BC7B43">
        <w:rPr>
          <w:b/>
        </w:rPr>
        <w:t xml:space="preserve"> Önmagában a cégtábla előíráson felül figyelni kell arra is, hogy a </w:t>
      </w:r>
      <w:proofErr w:type="gramStart"/>
      <w:r w:rsidR="00BC7B43">
        <w:rPr>
          <w:b/>
        </w:rPr>
        <w:t>posta kézbesítés</w:t>
      </w:r>
      <w:proofErr w:type="gramEnd"/>
      <w:r w:rsidR="00BC7B43">
        <w:rPr>
          <w:b/>
        </w:rPr>
        <w:t xml:space="preserve"> is zökkenőmentes legyen, mert ellenkező esetben szankciók is felmerülhetnek.</w:t>
      </w:r>
    </w:p>
    <w:p w:rsidR="007612BA" w:rsidRDefault="007612BA">
      <w:pPr>
        <w:rPr>
          <w:b/>
        </w:rPr>
      </w:pPr>
    </w:p>
    <w:p w:rsidR="00BC7B43" w:rsidRDefault="00BC7B43" w:rsidP="00BC7B43">
      <w:pPr>
        <w:spacing w:before="100" w:beforeAutospacing="1" w:after="100" w:afterAutospacing="1"/>
        <w:ind w:firstLine="240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 xml:space="preserve">Több jogszabály tartalmaz olyan rendelkezéseket, amelyek a cég jelölését érintik. Ezek közül a legfontosabb a </w:t>
      </w:r>
      <w:r>
        <w:rPr>
          <w:rFonts w:ascii="Book Antiqua" w:hAnsi="Book Antiqua"/>
          <w:i/>
          <w:iCs/>
          <w:color w:val="002060"/>
          <w:highlight w:val="yellow"/>
        </w:rPr>
        <w:t>2006. évi V. Cégtörvény</w:t>
      </w:r>
      <w:r w:rsidRPr="00BC7B43">
        <w:rPr>
          <w:rFonts w:ascii="Book Antiqua" w:hAnsi="Book Antiqua"/>
          <w:iCs/>
          <w:color w:val="002060"/>
        </w:rPr>
        <w:t xml:space="preserve">, amely </w:t>
      </w:r>
      <w:proofErr w:type="gramStart"/>
      <w:r w:rsidRPr="00BC7B43">
        <w:rPr>
          <w:rFonts w:ascii="Book Antiqua" w:hAnsi="Book Antiqua"/>
          <w:iCs/>
          <w:color w:val="002060"/>
        </w:rPr>
        <w:t>előírja</w:t>
      </w:r>
      <w:proofErr w:type="gramEnd"/>
      <w:r w:rsidRPr="00BC7B43">
        <w:rPr>
          <w:rFonts w:ascii="Book Antiqua" w:hAnsi="Book Antiqua"/>
          <w:iCs/>
          <w:color w:val="002060"/>
        </w:rPr>
        <w:t xml:space="preserve"> hogy a székhelyen cégtáblával kell rendelkeznie a cégnek, de </w:t>
      </w:r>
      <w:r w:rsidRPr="00BC7B43">
        <w:rPr>
          <w:rFonts w:ascii="Book Antiqua" w:hAnsi="Book Antiqua"/>
          <w:color w:val="002060"/>
        </w:rPr>
        <w:t>nem ír cégtábl</w:t>
      </w:r>
      <w:r>
        <w:rPr>
          <w:rFonts w:ascii="Book Antiqua" w:hAnsi="Book Antiqua"/>
          <w:color w:val="002060"/>
        </w:rPr>
        <w:t>ára vonatkozó minimális méretet.</w:t>
      </w:r>
    </w:p>
    <w:p w:rsidR="00BC7B43" w:rsidRDefault="00BC7B43" w:rsidP="00BC7B43">
      <w:r>
        <w:rPr>
          <w:b/>
          <w:bCs/>
        </w:rPr>
        <w:t xml:space="preserve">„7. § </w:t>
      </w:r>
      <w:r>
        <w:t>(1)</w:t>
      </w:r>
      <w:hyperlink r:id="rId4" w:anchor="lbj33id7c30" w:tooltip="" w:history="1">
        <w:r>
          <w:rPr>
            <w:rStyle w:val="Hiperhivatkozs"/>
            <w:vertAlign w:val="superscript"/>
          </w:rPr>
          <w:t>34</w:t>
        </w:r>
      </w:hyperlink>
      <w:r>
        <w:t xml:space="preserve"> A cég székhelye a cég bejegyzett irodája. A bejegyzett iroda a cég levelezési címe, az a hely, ahol a cég üzleti és hivatalos iratainak átvétele, érkeztetése, őrzése, rendelkezésre tartása, valamint ahol a külön jogszabályban meghatározott, a székhellyel összefüggő kötelezettségek teljesítése történik. A </w:t>
      </w:r>
      <w:r>
        <w:rPr>
          <w:b/>
          <w:bCs/>
        </w:rPr>
        <w:t>cégnek a székhelyét cégtáblával kell megjelölnie.</w:t>
      </w:r>
      <w:r>
        <w:t xml:space="preserve"> A </w:t>
      </w:r>
      <w:proofErr w:type="gramStart"/>
      <w:r>
        <w:t>cég létesítő</w:t>
      </w:r>
      <w:proofErr w:type="gramEnd"/>
      <w:r>
        <w:t xml:space="preserve"> okirata úgy is rendelkezhet, hogy a cég székhelye egyben a központi ügyintézés (döntéshozatal) helye. Amennyiben a cég székhelye nem azonos a központi ügyintézés helyével, a központi ügyintézés helyét a létesítő okiratában és a cégjegyzékben fel kell tüntetni. A cégeljárás szempontjából székhelynek minősül a külföldi vállalkozás magyarországi fióktelepe, a külföldiek közvetlen kereskedelmi képviselete, valamint az európai gazdasági egyesülés telephelye is.”</w:t>
      </w:r>
    </w:p>
    <w:p w:rsidR="00BC7B43" w:rsidRDefault="00BC7B43" w:rsidP="00BC7B43">
      <w:pPr>
        <w:rPr>
          <w:rFonts w:ascii="Book Antiqua" w:hAnsi="Book Antiqua"/>
          <w:color w:val="002060"/>
        </w:rPr>
      </w:pPr>
    </w:p>
    <w:p w:rsidR="00BC7B43" w:rsidRDefault="00BC7B43" w:rsidP="00BC7B43">
      <w:pPr>
        <w:spacing w:before="100" w:beforeAutospacing="1" w:after="100" w:afterAutospacing="1"/>
        <w:ind w:firstLine="240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 xml:space="preserve">Az alábbi jogszabályok részletesen felsorolják azon feltételeket, melyeket minden vállalkozásnak (és magánszemélynek, egyéb szervezetnek) be kell tartania. Ha nem teljesülnek az itt leírtak, akkor társasház, irodaház esetén </w:t>
      </w:r>
      <w:r>
        <w:rPr>
          <w:rFonts w:ascii="Book Antiqua" w:hAnsi="Book Antiqua"/>
          <w:color w:val="002060"/>
          <w:u w:val="single"/>
        </w:rPr>
        <w:t>jelezni kell a közös képviselőnek a hiányosságot</w:t>
      </w:r>
      <w:r>
        <w:rPr>
          <w:rFonts w:ascii="Book Antiqua" w:hAnsi="Book Antiqua"/>
          <w:color w:val="002060"/>
        </w:rPr>
        <w:t>. Mivel ez egy általános kormányrendelet a postai kézbesítés szabályairól, így mindenkire vonatkozik.</w:t>
      </w:r>
    </w:p>
    <w:p w:rsidR="00BC7B43" w:rsidRPr="00BC7B43" w:rsidRDefault="00BC7B43" w:rsidP="00BC7B43">
      <w:pPr>
        <w:spacing w:before="100" w:beforeAutospacing="1" w:after="100" w:afterAutospacing="1"/>
        <w:ind w:firstLine="240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Minden vállalkozás tapasztalja, hogy az adóhatóság rendszeresen küld postai levél küldeményeket az adózóknak. Amennyiben a posta ne tudja kézbesíteni az iratot, a második sikertelen kézbesítési kísérlet után beáll a kézbesítési vélelem. Azaz 2 sikertelen próbálkozás után is kézbesítettnek minősül minden irat. A NAV honlapján (és a mi honlapunk tudástárában is) található egy adatbázis ahol lekérdezhetők ezen át nem vett iratok, az azonosító számuk alapján. A következmények ezzel nem zárulnak le, mert</w:t>
      </w:r>
      <w:r w:rsidR="00B4761C">
        <w:rPr>
          <w:rFonts w:ascii="Book Antiqua" w:hAnsi="Book Antiqua"/>
          <w:color w:val="002060"/>
        </w:rPr>
        <w:t xml:space="preserve"> végső esetben az adószám felfüggesztése, majd törlése is bekövetkezhet.</w:t>
      </w:r>
    </w:p>
    <w:p w:rsidR="00BC7B43" w:rsidRDefault="00B4761C" w:rsidP="00BC7B43">
      <w:pPr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Tehát nézzük a postai törvény és a kézbesítési rendelet további ielőírásait:</w:t>
      </w:r>
    </w:p>
    <w:p w:rsidR="00BC7B43" w:rsidRDefault="00BC7B43" w:rsidP="00BC7B43">
      <w:pPr>
        <w:spacing w:before="100" w:beforeAutospacing="1" w:after="100" w:afterAutospacing="1"/>
        <w:ind w:firstLine="240"/>
      </w:pPr>
      <w:r>
        <w:t xml:space="preserve">A </w:t>
      </w:r>
      <w:r>
        <w:rPr>
          <w:i/>
          <w:iCs/>
          <w:highlight w:val="yellow"/>
        </w:rPr>
        <w:t>postai szolgáltatásokról szóló 2012. évi CLIX. törvény</w:t>
      </w:r>
      <w:r>
        <w:t xml:space="preserve"> </w:t>
      </w:r>
      <w:proofErr w:type="gramStart"/>
      <w:r>
        <w:t>előírja</w:t>
      </w:r>
      <w:proofErr w:type="gramEnd"/>
      <w:r>
        <w:t xml:space="preserve"> hogy ki kell írni a cég nevét a postaládára:</w:t>
      </w:r>
    </w:p>
    <w:p w:rsidR="00BC7B43" w:rsidRDefault="00BC7B43" w:rsidP="00BC7B43">
      <w:pPr>
        <w:spacing w:before="100" w:beforeAutospacing="1" w:after="100" w:afterAutospacing="1"/>
        <w:ind w:firstLine="240"/>
      </w:pPr>
      <w:r>
        <w:rPr>
          <w:b/>
          <w:bCs/>
        </w:rPr>
        <w:t xml:space="preserve">„41. § </w:t>
      </w:r>
      <w:r>
        <w:t>(1)</w:t>
      </w:r>
      <w:hyperlink r:id="rId5" w:anchor="lbj27idfeaa" w:tooltip="" w:history="1">
        <w:r>
          <w:rPr>
            <w:rStyle w:val="Hiperhivatkozs"/>
            <w:vertAlign w:val="superscript"/>
          </w:rPr>
          <w:t>28</w:t>
        </w:r>
      </w:hyperlink>
      <w:r>
        <w:t xml:space="preserve"> A postai szolgáltató a postai küldeményt a címként megjelölt vagy a Kormány által rendeletben meghatározott esetekben attól eltérő helyen kézbesíti. Kézbesítésnek minősül az is, ha a meghatalmazás alapján kézbesített postai küldeményt a 4. § </w:t>
      </w:r>
      <w:r>
        <w:rPr>
          <w:i/>
          <w:iCs/>
        </w:rPr>
        <w:t xml:space="preserve">a) </w:t>
      </w:r>
      <w:r>
        <w:t xml:space="preserve">pontjában felsorolt személyeken kívüli gazdálkodó szervezet gazdasági tevékenység keretében </w:t>
      </w:r>
      <w:r>
        <w:lastRenderedPageBreak/>
        <w:t>székhelyétől, telephelyétől vagy fióktelepétől különböző címre továbbítja és adja ott át a gazdálkodó szervezetnek nem minősülő címzett vagy egyéb jogosult átvevő részére.</w:t>
      </w:r>
    </w:p>
    <w:p w:rsidR="00BC7B43" w:rsidRDefault="00BC7B43" w:rsidP="00BC7B43">
      <w:pPr>
        <w:spacing w:before="100" w:beforeAutospacing="1" w:after="100" w:afterAutospacing="1"/>
        <w:ind w:firstLine="240"/>
      </w:pPr>
      <w:r>
        <w:t xml:space="preserve">(2) Nem könyvelt postai küldemény az erre a célra szolgáló </w:t>
      </w:r>
      <w:r>
        <w:rPr>
          <w:b/>
          <w:bCs/>
        </w:rPr>
        <w:t>levélszekrénybe vagy kézbesítési ponton történő elhelyezéssel kézbesíthető</w:t>
      </w:r>
      <w:r>
        <w:t xml:space="preserve">. Az ingatlan tulajdonosa vagy a </w:t>
      </w:r>
      <w:r>
        <w:rPr>
          <w:b/>
          <w:bCs/>
        </w:rPr>
        <w:t>címzett köteles gondoskodni a levélküldemények elhelyezésére és sérülésmentes, biztonságos tárolására alkalmas, megfelelő méretű, zárható,</w:t>
      </w:r>
      <w:r>
        <w:t xml:space="preserve"> - kormányrendelet eltérő rendelkezése hiányában - </w:t>
      </w:r>
      <w:r>
        <w:rPr>
          <w:b/>
          <w:bCs/>
        </w:rPr>
        <w:t xml:space="preserve">a címnek megfelelő jelzéssel ellátott levélszekrény rendelkezésre állásáról, továbbá arról, hogy az a postai szolgáltatók számára könnyen és biztonságosan megközelíthető legyen. </w:t>
      </w:r>
      <w:r>
        <w:t>Az e követelményeknek megfelelő levélszekrény méretét és egyéb jellemzőit, valamint a kötelezettség nem teljesítésének jogkövetkezményeit a Kormány rendeletben határozza meg.”</w:t>
      </w:r>
    </w:p>
    <w:p w:rsidR="007612BA" w:rsidRPr="007612BA" w:rsidRDefault="007612BA"/>
    <w:p w:rsidR="007612BA" w:rsidRDefault="007612BA" w:rsidP="007612BA">
      <w:pPr>
        <w:spacing w:before="100" w:beforeAutospacing="1" w:after="100" w:afterAutospacing="1"/>
        <w:ind w:firstLine="240"/>
        <w:rPr>
          <w:rFonts w:ascii="Book Antiqua" w:hAnsi="Book Antiqua"/>
          <w:color w:val="002060"/>
        </w:rPr>
      </w:pPr>
      <w:r>
        <w:rPr>
          <w:i/>
          <w:iCs/>
          <w:highlight w:val="yellow"/>
        </w:rPr>
        <w:t>Jogszabály: A postai szolgáltatások nyújtásának és a hivatalos iratokkal kapcsolatos postai szolgáltatás részletes szabályairól, valamint a postai szolgáltatók általános szerződési feltételeiről és a postai szolgáltatásból kizárt vagy feltételesen szállítható küldeményekről szóló 335/2012. (XII. 4.) Korm. rendelet</w:t>
      </w:r>
      <w:r>
        <w:rPr>
          <w:rFonts w:ascii="Book Antiqua" w:hAnsi="Book Antiqua"/>
          <w:color w:val="002060"/>
        </w:rPr>
        <w:t xml:space="preserve"> </w:t>
      </w:r>
    </w:p>
    <w:p w:rsidR="007612BA" w:rsidRDefault="007612BA" w:rsidP="007612BA">
      <w:pPr>
        <w:spacing w:before="100" w:beforeAutospacing="1" w:after="100" w:afterAutospacing="1"/>
        <w:ind w:firstLine="240"/>
      </w:pPr>
      <w:r>
        <w:rPr>
          <w:b/>
          <w:bCs/>
        </w:rPr>
        <w:t xml:space="preserve">„11. § </w:t>
      </w:r>
      <w:r>
        <w:t xml:space="preserve">(1) A személyes kézbesítést nem igénylő </w:t>
      </w:r>
      <w:r>
        <w:rPr>
          <w:b/>
          <w:bCs/>
        </w:rPr>
        <w:t>küldemények kézbesítésére</w:t>
      </w:r>
      <w:r>
        <w:t xml:space="preserve">, valamint a személyes kézbesítést igénylő küldeményekhez kapcsolódó értesítő elhelyezésére az ingatlan tulajdonosa vagy a címzett által biztosított, a címhelyhez tartozó </w:t>
      </w:r>
      <w:r>
        <w:rPr>
          <w:b/>
          <w:bCs/>
        </w:rPr>
        <w:t>levélszekrény abban az esetben felel meg</w:t>
      </w:r>
      <w:r>
        <w:t xml:space="preserve"> a </w:t>
      </w:r>
      <w:proofErr w:type="spellStart"/>
      <w:r>
        <w:t>Postatv</w:t>
      </w:r>
      <w:proofErr w:type="spellEnd"/>
      <w:r>
        <w:t xml:space="preserve">. 41. § (2) bekezdésében foglalt könnyű és biztonságos megközelíthetőség követelményének, ha a levélszekrény megközelítése közvetlenül biztosított és a postai küldemények kézbesítését végző személy testi épségét nem veszélyezteti, továbbá </w:t>
      </w:r>
      <w:r>
        <w:rPr>
          <w:b/>
          <w:bCs/>
        </w:rPr>
        <w:t>ha elhelyezése</w:t>
      </w:r>
    </w:p>
    <w:p w:rsidR="007612BA" w:rsidRDefault="007612BA" w:rsidP="007612BA">
      <w:pPr>
        <w:spacing w:before="100" w:beforeAutospacing="1" w:after="100" w:afterAutospacing="1"/>
        <w:ind w:firstLine="240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r>
        <w:t>a közterületről közvetlenül meg nem közelíthető, csak közterületi címmel rendelkező címhely esetében a telek cím szerinti bejáratánál történt;</w:t>
      </w:r>
    </w:p>
    <w:p w:rsidR="007612BA" w:rsidRDefault="007612BA" w:rsidP="007612BA">
      <w:pPr>
        <w:spacing w:before="100" w:beforeAutospacing="1" w:after="100" w:afterAutospacing="1"/>
        <w:ind w:firstLine="240"/>
      </w:pPr>
      <w:r>
        <w:rPr>
          <w:i/>
          <w:iCs/>
        </w:rPr>
        <w:t xml:space="preserve">b) </w:t>
      </w:r>
      <w:r>
        <w:t>a közterületről közvetlenül meg nem közelíthető, több címhellyel rendelkező épület esetében a telek cím szerinti bejáratánál egy csoportban, de címhelyenként külön-külön biztosítva (a továbbiakban: csoportos levélszekrény) történt;</w:t>
      </w:r>
    </w:p>
    <w:p w:rsidR="007612BA" w:rsidRDefault="007612BA" w:rsidP="007612BA">
      <w:pPr>
        <w:spacing w:before="100" w:beforeAutospacing="1" w:after="100" w:afterAutospacing="1"/>
        <w:ind w:firstLine="240"/>
      </w:pPr>
      <w:r>
        <w:rPr>
          <w:i/>
          <w:iCs/>
        </w:rPr>
        <w:t xml:space="preserve">c) </w:t>
      </w:r>
      <w:r>
        <w:t xml:space="preserve">a közterületről közvetlenül megközelíthető </w:t>
      </w:r>
      <w:r>
        <w:rPr>
          <w:b/>
          <w:bCs/>
        </w:rPr>
        <w:t>lakóépület, irodaház, üzletház és egyéb hasonló jellegű intézmény esetében az épület bejárata közelében, az épületen kívül, vagy amennyiben az ahhoz való eljutás biztosított, az épületen belül a földszinten csoportos levélszekrényként történt</w:t>
      </w:r>
      <w:r>
        <w:t>;</w:t>
      </w:r>
    </w:p>
    <w:p w:rsidR="007612BA" w:rsidRDefault="007612BA" w:rsidP="007612BA">
      <w:pPr>
        <w:spacing w:before="100" w:beforeAutospacing="1" w:after="100" w:afterAutospacing="1"/>
        <w:ind w:firstLine="240"/>
      </w:pPr>
      <w:r>
        <w:rPr>
          <w:i/>
          <w:iCs/>
        </w:rPr>
        <w:t xml:space="preserve">d) </w:t>
      </w:r>
      <w:r>
        <w:t>ipari park, gyártelep vagy egyéb, a gyalogos kézbesítést korlátozottan lehetővé tévő ingatlan esetében ezek bejáratánál, csoportos levélszekrényként történt; vagy</w:t>
      </w:r>
    </w:p>
    <w:p w:rsidR="007612BA" w:rsidRDefault="007612BA" w:rsidP="007612BA">
      <w:pPr>
        <w:spacing w:before="100" w:beforeAutospacing="1" w:after="100" w:afterAutospacing="1"/>
        <w:ind w:firstLine="240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 xml:space="preserve">) </w:t>
      </w:r>
      <w:r>
        <w:t>a levélszekrény vagy a csoportos levélszekrény esetében közterületről közvetlenül megközelíthető módon történt.</w:t>
      </w:r>
    </w:p>
    <w:p w:rsidR="007612BA" w:rsidRDefault="007612BA" w:rsidP="007612BA">
      <w:pPr>
        <w:spacing w:before="100" w:beforeAutospacing="1" w:after="100" w:afterAutospacing="1"/>
        <w:ind w:firstLine="240"/>
      </w:pPr>
      <w:r>
        <w:t>(2) A kézbesíthetőség érdekében a levélszekrénynek a következő követelményeknek kell megfelelnie:</w:t>
      </w:r>
    </w:p>
    <w:p w:rsidR="007612BA" w:rsidRDefault="007612BA" w:rsidP="007612BA">
      <w:pPr>
        <w:spacing w:before="100" w:beforeAutospacing="1" w:after="100" w:afterAutospacing="1"/>
        <w:ind w:firstLine="240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r>
        <w:t xml:space="preserve">a </w:t>
      </w:r>
      <w:r>
        <w:rPr>
          <w:b/>
          <w:bCs/>
        </w:rPr>
        <w:t>bedobó nyílás minimális mérete: 30 x 230 mm</w:t>
      </w:r>
      <w:r>
        <w:t>;</w:t>
      </w:r>
    </w:p>
    <w:p w:rsidR="007612BA" w:rsidRDefault="007612BA" w:rsidP="007612BA">
      <w:pPr>
        <w:spacing w:before="100" w:beforeAutospacing="1" w:after="100" w:afterAutospacing="1"/>
        <w:ind w:firstLine="240"/>
      </w:pPr>
      <w:r>
        <w:rPr>
          <w:i/>
          <w:iCs/>
        </w:rPr>
        <w:lastRenderedPageBreak/>
        <w:t xml:space="preserve">b) </w:t>
      </w:r>
      <w:r>
        <w:t xml:space="preserve">a </w:t>
      </w:r>
      <w:r>
        <w:rPr>
          <w:b/>
          <w:bCs/>
        </w:rPr>
        <w:t>bedobó nyílás középvonalának földtől, padlószinttől mért távolsága: 700 mm és 1700 mm között</w:t>
      </w:r>
      <w:r>
        <w:t>;</w:t>
      </w:r>
    </w:p>
    <w:p w:rsidR="007612BA" w:rsidRDefault="007612BA" w:rsidP="007612BA">
      <w:pPr>
        <w:spacing w:before="100" w:beforeAutospacing="1" w:after="100" w:afterAutospacing="1"/>
        <w:ind w:firstLine="240"/>
      </w:pPr>
      <w:r>
        <w:rPr>
          <w:i/>
          <w:iCs/>
        </w:rPr>
        <w:t xml:space="preserve">c) </w:t>
      </w:r>
      <w:r>
        <w:t xml:space="preserve">a levélszekrény kialakításának olyannak kell lennie, hogy alkalmas legyen a postai küldemények biztonságos és sérülésmentes elhelyezésére, valamint a kézbesített küldeményhez való </w:t>
      </w:r>
      <w:r>
        <w:rPr>
          <w:b/>
          <w:bCs/>
        </w:rPr>
        <w:t>jogosulatlan hozzáférés megakadályozására</w:t>
      </w:r>
      <w:r>
        <w:t>;</w:t>
      </w:r>
    </w:p>
    <w:p w:rsidR="007612BA" w:rsidRDefault="007612BA" w:rsidP="007612BA">
      <w:pPr>
        <w:spacing w:before="100" w:beforeAutospacing="1" w:after="100" w:afterAutospacing="1"/>
        <w:ind w:firstLine="240"/>
      </w:pPr>
      <w:r>
        <w:rPr>
          <w:i/>
          <w:iCs/>
        </w:rPr>
        <w:t xml:space="preserve">d) </w:t>
      </w:r>
      <w:r>
        <w:t xml:space="preserve">csoportos levélszekrény elhelyezése esetén a csoporton belül minden címhelyhez </w:t>
      </w:r>
      <w:r>
        <w:rPr>
          <w:b/>
          <w:bCs/>
        </w:rPr>
        <w:t>külön-külön kell levélszekrényt</w:t>
      </w:r>
      <w:r>
        <w:t xml:space="preserve"> biztosítani oly módon, hogy azok </w:t>
      </w:r>
      <w:r>
        <w:rPr>
          <w:b/>
          <w:bCs/>
        </w:rPr>
        <w:t>mindegyikén szerepelnie kell a közelebbi címadatnak és a címzett vagy lehetséges címzettek nevének</w:t>
      </w:r>
      <w:r>
        <w:t>.”</w:t>
      </w:r>
    </w:p>
    <w:p w:rsidR="007612BA" w:rsidRDefault="007612BA" w:rsidP="007612BA">
      <w:pPr>
        <w:spacing w:before="100" w:beforeAutospacing="1" w:after="100" w:afterAutospacing="1"/>
        <w:ind w:firstLine="240"/>
      </w:pPr>
    </w:p>
    <w:p w:rsidR="007612BA" w:rsidRDefault="007612BA" w:rsidP="007612BA">
      <w:pPr>
        <w:rPr>
          <w:rFonts w:ascii="Book Antiqua" w:hAnsi="Book Antiqua"/>
          <w:color w:val="002060"/>
        </w:rPr>
      </w:pPr>
    </w:p>
    <w:p w:rsidR="007612BA" w:rsidRDefault="007612BA" w:rsidP="007612BA">
      <w:pPr>
        <w:rPr>
          <w:rFonts w:ascii="Book Antiqua" w:hAnsi="Book Antiqua"/>
          <w:color w:val="002060"/>
        </w:rPr>
      </w:pPr>
    </w:p>
    <w:p w:rsidR="007612BA" w:rsidRDefault="007612BA"/>
    <w:sectPr w:rsidR="007612BA" w:rsidSect="00E5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2BA"/>
    <w:rsid w:val="007612BA"/>
    <w:rsid w:val="00B4761C"/>
    <w:rsid w:val="00BC7B43"/>
    <w:rsid w:val="00E5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2BA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612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t.jogtar.hu/jr/gen/hjegy_doc.cgi?docid=A1200159.TV" TargetMode="External"/><Relationship Id="rId4" Type="http://schemas.openxmlformats.org/officeDocument/2006/relationships/hyperlink" Target="http://net.jogtar.hu/jr/gen/hjegy_doc.cgi?docid=A0600005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820</Words>
  <Characters>5665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Márti</cp:lastModifiedBy>
  <cp:revision>1</cp:revision>
  <dcterms:created xsi:type="dcterms:W3CDTF">2017-01-06T22:44:00Z</dcterms:created>
  <dcterms:modified xsi:type="dcterms:W3CDTF">2017-01-06T23:06:00Z</dcterms:modified>
</cp:coreProperties>
</file>